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C4" w:rsidRDefault="00BE21C4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</w:p>
    <w:p w:rsidR="003763B9" w:rsidRDefault="003763B9" w:rsidP="00D8062B">
      <w:pPr>
        <w:spacing w:after="0" w:line="240" w:lineRule="auto"/>
        <w:rPr>
          <w:rFonts w:ascii="Cambria" w:eastAsia="Cambria" w:hAnsi="Cambria" w:cs="Cambria"/>
          <w:b/>
          <w:sz w:val="72"/>
          <w:szCs w:val="72"/>
        </w:rPr>
      </w:pPr>
    </w:p>
    <w:p w:rsidR="003763B9" w:rsidRDefault="003763B9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</w:p>
    <w:p w:rsidR="003763B9" w:rsidRDefault="003763B9" w:rsidP="00D8062B">
      <w:pPr>
        <w:spacing w:after="0" w:line="240" w:lineRule="auto"/>
        <w:ind w:left="-1417"/>
        <w:jc w:val="center"/>
        <w:rPr>
          <w:rFonts w:ascii="Cambria" w:eastAsia="Cambria" w:hAnsi="Cambria" w:cs="Cambria"/>
          <w:b/>
          <w:sz w:val="72"/>
          <w:szCs w:val="72"/>
        </w:rPr>
      </w:pPr>
    </w:p>
    <w:p w:rsidR="00991454" w:rsidRDefault="00991454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</w:p>
    <w:p w:rsidR="00991454" w:rsidRDefault="00991454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</w:p>
    <w:p w:rsidR="00BE21C4" w:rsidRDefault="003C73D7" w:rsidP="00D8062B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  <w:r>
        <w:rPr>
          <w:rFonts w:ascii="Cambria" w:eastAsia="Cambria" w:hAnsi="Cambria" w:cs="Cambria"/>
          <w:b/>
          <w:sz w:val="72"/>
          <w:szCs w:val="72"/>
        </w:rPr>
        <w:t>Policy</w:t>
      </w:r>
      <w:r w:rsidR="003F7DA0">
        <w:rPr>
          <w:rFonts w:ascii="Cambria" w:eastAsia="Cambria" w:hAnsi="Cambria" w:cs="Cambria"/>
          <w:b/>
          <w:sz w:val="72"/>
          <w:szCs w:val="72"/>
        </w:rPr>
        <w:t xml:space="preserve"> INAF  in materia di </w:t>
      </w:r>
      <w:r w:rsidR="00D8062B">
        <w:rPr>
          <w:rFonts w:ascii="Cambria" w:eastAsia="Cambria" w:hAnsi="Cambria" w:cs="Cambria"/>
          <w:b/>
          <w:sz w:val="72"/>
          <w:szCs w:val="72"/>
        </w:rPr>
        <w:t xml:space="preserve">   </w:t>
      </w:r>
      <w:r w:rsidR="003F7DA0">
        <w:rPr>
          <w:rFonts w:ascii="Cambria" w:eastAsia="Cambria" w:hAnsi="Cambria" w:cs="Cambria"/>
          <w:b/>
          <w:sz w:val="72"/>
          <w:szCs w:val="72"/>
        </w:rPr>
        <w:t>accesso aperto (Open Access)</w:t>
      </w:r>
      <w:r w:rsidR="00991454">
        <w:rPr>
          <w:rFonts w:ascii="Cambria" w:eastAsia="Cambria" w:hAnsi="Cambria" w:cs="Cambria"/>
          <w:b/>
          <w:sz w:val="72"/>
          <w:szCs w:val="72"/>
        </w:rPr>
        <w:t xml:space="preserve"> ai risultati della ricerca scientifica</w:t>
      </w: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b/>
          <w:sz w:val="72"/>
          <w:szCs w:val="72"/>
        </w:rPr>
      </w:pP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b/>
          <w:sz w:val="72"/>
          <w:szCs w:val="72"/>
        </w:rPr>
      </w:pP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b/>
          <w:sz w:val="72"/>
          <w:szCs w:val="72"/>
        </w:rPr>
      </w:pPr>
    </w:p>
    <w:p w:rsidR="00BE21C4" w:rsidRDefault="00BE21C4">
      <w:pPr>
        <w:jc w:val="both"/>
        <w:rPr>
          <w:rFonts w:ascii="Cambria" w:eastAsia="Cambria" w:hAnsi="Cambria" w:cs="Cambria"/>
          <w:sz w:val="32"/>
          <w:szCs w:val="32"/>
        </w:rPr>
      </w:pPr>
    </w:p>
    <w:p w:rsidR="00BE21C4" w:rsidRDefault="00BE21C4">
      <w:pPr>
        <w:jc w:val="both"/>
        <w:rPr>
          <w:rFonts w:ascii="Cambria" w:eastAsia="Cambria" w:hAnsi="Cambria" w:cs="Cambria"/>
          <w:sz w:val="32"/>
          <w:szCs w:val="32"/>
        </w:rPr>
      </w:pPr>
    </w:p>
    <w:p w:rsidR="00BE21C4" w:rsidRDefault="00BE21C4">
      <w:pPr>
        <w:widowControl w:val="0"/>
        <w:spacing w:after="0" w:line="276" w:lineRule="auto"/>
        <w:rPr>
          <w:rFonts w:ascii="Cambria" w:eastAsia="Cambria" w:hAnsi="Cambria" w:cs="Cambria"/>
          <w:sz w:val="32"/>
          <w:szCs w:val="32"/>
        </w:rPr>
        <w:sectPr w:rsidR="00BE21C4" w:rsidSect="00D8062B">
          <w:footerReference w:type="default" r:id="rId7"/>
          <w:pgSz w:w="11906" w:h="16838"/>
          <w:pgMar w:top="1417" w:right="0" w:bottom="1700" w:left="1417" w:header="709" w:footer="709" w:gutter="0"/>
          <w:pgNumType w:start="1"/>
        </w:sectPr>
      </w:pP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la Raccomandazione della Commissione Europea del 17 luglio 2012 sull’accesso all’informazione scientifica e sulla sua conservazione (2012/417/UE);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la Comunicazione della Commissione al Parlamento Europeo, al Consiglio e al Comitato Economico e Sociale Europeo del 14 febbraio 2007 sull'informazione scientifica nell'era digitale: accesso, diffusione e conservazione, COM(2007) 56 definitivo;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la Comunicazione della Commissione al Parlamento Europeo, al Consiglio, al Comitato Economico e sociale europeo e al Comitato delle regioni del 26 agosto 2010, Un'agenda digitale europea, (COM(2010) 245 definitivo/2);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la Comunicazione della Commissione al Parlamento Europeo, al Consiglio e al Comitato Economico e Sociale Europeo e al Comitato delle Regioni del 17 luglio 2012 verso un accesso migliore alle informazioni scientifiche: aumentare i benefici dell'investimento pubblico nella ricerca (COM/2012/0401);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VISTO il documento del Ministero dell’Università e della Ricerca scientifica e tecnologica «Horizon 2020 Italia», del 19 marzo 2013;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la legge 9 maggio 1989, n. 168 – “Istituzione del Ministero dell’Università e della ricerca scientifica e tecnologica”;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la legge 22 aprile 1941 n. 633 – “Protezione del diritto d'autore e di altri diritti connessi al suo esercizio”;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VISTO il decreto legislativo 13 agosto 2010, n. 131 - “Modifiche al decreto legislativo 10 febbraio 2005, n. 30, recante il codice della proprietà industriale, ai sensi dell'articolo 19 della legge 23 luglio 2009, n. 99;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la legge del 18 giugno 2009 n. 69 - "Disposizioni per lo sviluppo economico, la semplificazione, la competitività nonché in materia di processo civile";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la legge del 7 agosto 2012 n.134 - “Misure urgenti per la crescita del paese”;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VISTA la legge del 17 dicembre 2012 n. 221 - “Conversione in legge, con modificazioni, del decreto-legge 18 ottobre 2012, n. 179, recante ulteriori misure urgenti per la crescita del Paese”;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VISTO il decreto legislativo del 7 marzo 2005, n. 82 - “Codice dell’amministrazione digitale”;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VISTO il decreto legislativo 27 ottobre 2009 n. 150 - "Attuazione della legge 4 marzo 2009, n. 15, in materia di ottimizzazione della produttività del lavoro pubblico e di efficienza e trasparenza delle pubbliche amministrazioni”;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VISTO il decreto legislativo 33 del 14 marzo 2013 - “Riordino della disciplina riguardante gli obblighi di pubblicità, trasparenza e diffusione di informazioni da parte delle pubbliche amministrazioni, a norma dell'articolo 1, comma 35, della legge 6 novembre 2012, n. 190”;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VISTO lo Statuto dell’INAF, emanato con______, pubblicato sulla G.U. n. __________ ed entrato in vigore il _____________; 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VISTO il “Position Statement sull’accesso aperto ai risultati della ricerca scientifica in Italia”, firmato il 4 ottobre 2013 dal Presidente INAF Prof. G. Bignami </w:t>
      </w:r>
    </w:p>
    <w:p w:rsidR="00BE21C4" w:rsidRDefault="003F7DA0" w:rsidP="00AD2B0A">
      <w:pPr>
        <w:spacing w:after="120" w:line="240" w:lineRule="auto"/>
        <w:jc w:val="center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</w:t>
      </w:r>
      <w:r w:rsidR="00791AEF">
        <w:rPr>
          <w:rFonts w:ascii="Cambria" w:eastAsia="Cambria" w:hAnsi="Cambria" w:cs="Cambria"/>
          <w:sz w:val="24"/>
          <w:szCs w:val="24"/>
        </w:rPr>
        <w:t>LIBERA</w:t>
      </w:r>
    </w:p>
    <w:p w:rsidR="00BE21C4" w:rsidRDefault="003F7DA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decorrere dalla data del presente decreto entra in vigore </w:t>
      </w:r>
      <w:r w:rsidR="00296E7F">
        <w:rPr>
          <w:rFonts w:ascii="Cambria" w:eastAsia="Cambria" w:hAnsi="Cambria" w:cs="Cambria"/>
          <w:sz w:val="24"/>
          <w:szCs w:val="24"/>
        </w:rPr>
        <w:t xml:space="preserve">la Policy </w:t>
      </w:r>
      <w:r>
        <w:rPr>
          <w:rFonts w:ascii="Cambria" w:eastAsia="Cambria" w:hAnsi="Cambria" w:cs="Cambria"/>
          <w:sz w:val="24"/>
          <w:szCs w:val="24"/>
        </w:rPr>
        <w:t>dell’INAF sull’Accesso aperto .</w:t>
      </w: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Art. 1 </w:t>
      </w: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Finalità e principî generali </w:t>
      </w:r>
    </w:p>
    <w:p w:rsidR="00BE21C4" w:rsidRDefault="003F7DA0">
      <w:pPr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Finalità della politica di accesso aperto dell’INAF è rendere pubblicamente disponibili i prodotti della ricerca finanziata con i fondi pubblici, secondo i canoni dell’Accesso aperto. </w:t>
      </w:r>
    </w:p>
    <w:p w:rsidR="00BE21C4" w:rsidRDefault="003F7DA0">
      <w:pPr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disponibilità pubblica dei risultati e dei dati della ricerca si fonda sul principio della conoscenza come bene comune e su logiche di inclusione e partecipazione, per una scienza aperta e collaborativa. </w:t>
      </w:r>
    </w:p>
    <w:p w:rsidR="00BE21C4" w:rsidRDefault="003F7DA0">
      <w:pPr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disponibilità pubblica dei prodotti della ricerca scientifica, nel rispetto delle vigenti norme sulla tutela della proprietà intellettuale, contribuisce alla trasparenza dell'operato delle amministrazioni pubbliche. </w:t>
      </w:r>
    </w:p>
    <w:p w:rsidR="00BE21C4" w:rsidRDefault="003F7DA0">
      <w:pPr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visibilità della produzione scientifica garantita dall’accesso aperto ha come risultato la valorizzazione delle competenze e un potenziale maggiore ritorno sugli investimenti per l’intero Istituto, grazie all’accresciuto trasferimento di conoscenze alle imprese e ai professionisti, sia sul territorio sia su scala globale. </w:t>
      </w:r>
    </w:p>
    <w:p w:rsidR="00BE21C4" w:rsidRDefault="003F7DA0">
      <w:pPr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deposito nell’archivio istituzionale assolve al duplice compito di conservare la produzione scientifica dell’INAF e di renderla sempre disponibile per l’esercizio interno di valutazione della ricerca e per eventuali altri esercizi esterni. </w:t>
      </w:r>
    </w:p>
    <w:p w:rsidR="00BE21C4" w:rsidRDefault="003F7DA0">
      <w:pPr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connessione tra accesso aperto e valutazione è parte essenziale dell'impegno e dell'azione dell'INAF in favore dell’accesso aperto, come previsto dallo Statuto; l’INAF favorisce la partecipazione consapevole di tutti i ricercatori a tale impegno. </w:t>
      </w:r>
    </w:p>
    <w:p w:rsidR="00BE21C4" w:rsidRDefault="00BE21C4">
      <w:pPr>
        <w:spacing w:after="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Art. 2 </w:t>
      </w: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Definizioni </w:t>
      </w:r>
    </w:p>
    <w:p w:rsidR="00BE21C4" w:rsidRDefault="003F7DA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fini de</w:t>
      </w:r>
      <w:r w:rsidR="00296E7F">
        <w:rPr>
          <w:rFonts w:ascii="Cambria" w:eastAsia="Cambria" w:hAnsi="Cambria" w:cs="Cambria"/>
          <w:sz w:val="24"/>
          <w:szCs w:val="24"/>
        </w:rPr>
        <w:t>lla presente Policy</w:t>
      </w:r>
      <w:r>
        <w:rPr>
          <w:rFonts w:ascii="Cambria" w:eastAsia="Cambria" w:hAnsi="Cambria" w:cs="Cambria"/>
          <w:sz w:val="24"/>
          <w:szCs w:val="24"/>
        </w:rPr>
        <w:t xml:space="preserve">, si intende: </w:t>
      </w:r>
    </w:p>
    <w:p w:rsidR="00BE21C4" w:rsidRDefault="003F7DA0">
      <w:pPr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 “prodotto” tutte le opere dell’ingegno realizzate dai ricercatori, pubblicate in riviste o monografie (quali ad esempio saggi, articoli, monografie, capitoli di libro, atti di convegno, edizioni critiche o scientifiche),o nella serie dei </w:t>
      </w:r>
      <w:r>
        <w:rPr>
          <w:rFonts w:ascii="Cambria" w:eastAsia="Cambria" w:hAnsi="Cambria" w:cs="Cambria"/>
          <w:i/>
          <w:sz w:val="24"/>
          <w:szCs w:val="24"/>
        </w:rPr>
        <w:t>Rapporti tecnici INAF</w:t>
      </w:r>
      <w:r>
        <w:rPr>
          <w:rFonts w:ascii="Cambria" w:eastAsia="Cambria" w:hAnsi="Cambria" w:cs="Cambria"/>
          <w:sz w:val="24"/>
          <w:szCs w:val="24"/>
        </w:rPr>
        <w:t xml:space="preserve">, nonché presentazioni multimediali, banche dati, dataset, software, brevetti; </w:t>
      </w:r>
    </w:p>
    <w:p w:rsidR="00BE21C4" w:rsidRDefault="003F7DA0">
      <w:pPr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 “ricercatore” tutto il personale di ruolo inquadrato come ricercatore, tecnologo, primo ricercatore, primo tecnologo, dirigente di ricerca, dirigente tecnologo, ricercatore astronomo, astronomo associato, astronomo ordinario, personale tecnico, personale amministrativo; personale associato INAF con incarico di ricerca; </w:t>
      </w:r>
      <w:r w:rsidR="00A850E1" w:rsidRPr="00A850E1">
        <w:rPr>
          <w:rFonts w:ascii="Cambria" w:eastAsia="Cambria" w:hAnsi="Cambria" w:cs="Cambria"/>
          <w:color w:val="auto"/>
          <w:sz w:val="24"/>
          <w:szCs w:val="24"/>
        </w:rPr>
        <w:t>t</w:t>
      </w:r>
      <w:r w:rsidRPr="00A850E1">
        <w:rPr>
          <w:rFonts w:ascii="Cambria" w:eastAsia="Cambria" w:hAnsi="Cambria" w:cs="Cambria"/>
          <w:color w:val="auto"/>
          <w:sz w:val="24"/>
          <w:szCs w:val="24"/>
        </w:rPr>
        <w:t>itolari di assegni di ricerca o di borse; dott</w:t>
      </w:r>
      <w:r w:rsidR="00A850E1">
        <w:rPr>
          <w:rFonts w:ascii="Cambria" w:eastAsia="Cambria" w:hAnsi="Cambria" w:cs="Cambria"/>
          <w:color w:val="auto"/>
          <w:sz w:val="24"/>
          <w:szCs w:val="24"/>
        </w:rPr>
        <w:t>orandi con borse a carico INAF</w:t>
      </w:r>
      <w:r w:rsidRPr="00A850E1">
        <w:rPr>
          <w:rFonts w:ascii="Cambria" w:eastAsia="Cambria" w:hAnsi="Cambria" w:cs="Cambria"/>
          <w:color w:val="auto"/>
          <w:sz w:val="24"/>
          <w:szCs w:val="24"/>
        </w:rPr>
        <w:t>;</w:t>
      </w:r>
    </w:p>
    <w:p w:rsidR="00BE21C4" w:rsidRDefault="003F7DA0">
      <w:pPr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 “Archivio Istituzionale ad accesso aperto” un archivio digitale interoperabile secondo i protocolli internazionali, che garantisca la conservazione e l’accesso pubblico dei </w:t>
      </w:r>
      <w:r>
        <w:rPr>
          <w:rFonts w:ascii="Cambria" w:eastAsia="Cambria" w:hAnsi="Cambria" w:cs="Cambria"/>
          <w:i/>
          <w:sz w:val="24"/>
          <w:szCs w:val="24"/>
        </w:rPr>
        <w:t xml:space="preserve">files </w:t>
      </w:r>
      <w:r>
        <w:rPr>
          <w:rFonts w:ascii="Cambria" w:eastAsia="Cambria" w:hAnsi="Cambria" w:cs="Cambria"/>
          <w:sz w:val="24"/>
          <w:szCs w:val="24"/>
        </w:rPr>
        <w:t xml:space="preserve">depositati e la libera diffusione/distribuzione dei metadati secondo standard nazionali e internazionali; </w:t>
      </w:r>
    </w:p>
    <w:p w:rsidR="00BE21C4" w:rsidRDefault="003F7DA0">
      <w:pPr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 “copia digitale” si intende la versione finale, integrale, ove applicabile </w:t>
      </w:r>
      <w:r>
        <w:rPr>
          <w:rFonts w:ascii="Cambria" w:eastAsia="Cambria" w:hAnsi="Cambria" w:cs="Cambria"/>
          <w:i/>
          <w:sz w:val="24"/>
          <w:szCs w:val="24"/>
        </w:rPr>
        <w:t>peer-reviewed</w:t>
      </w:r>
      <w:r>
        <w:rPr>
          <w:rFonts w:ascii="Cambria" w:eastAsia="Cambria" w:hAnsi="Cambria" w:cs="Cambria"/>
          <w:sz w:val="24"/>
          <w:szCs w:val="24"/>
        </w:rPr>
        <w:t xml:space="preserve">, del prodotto; solo nei casi in cui l’editore lo renda possibile, la versione finale pubblicata del lavoro con il layout editoriale; </w:t>
      </w:r>
    </w:p>
    <w:p w:rsidR="00BE21C4" w:rsidRDefault="003F7DA0">
      <w:pPr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 “embargo” il periodo in cui i prodotti sono mantenuti ad accesso riservato, ovvero accessibile ai soli fini della valutazione interna. </w:t>
      </w: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Art. 3 </w:t>
      </w: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Risorse umane e strumentali </w:t>
      </w:r>
    </w:p>
    <w:p w:rsidR="00BE21C4" w:rsidRDefault="003F7DA0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L’ INAF persegue le finalità dell’accesso aperto attraverso l’istituzione e la manutenzione dell’Archivio Istituzionale ad accesso aperto, che dialoga con il Sito Docente del MIUR. L’Archivio Istituzionale ad accesso aperto deve rispettare i criteri di interoperabilità previsti dai protocolli internazionali; ove tecnicamente possibile, sarà interfacciato con i principali archivi aperti disciplinari utilizzati dai propri ricercatori al fine di evitare duplicazioni. </w:t>
      </w:r>
    </w:p>
    <w:p w:rsidR="00BE21C4" w:rsidRPr="009B4023" w:rsidRDefault="003F7DA0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auto"/>
          <w:sz w:val="24"/>
          <w:szCs w:val="24"/>
        </w:rPr>
      </w:pPr>
      <w:r w:rsidRPr="009B4023">
        <w:rPr>
          <w:rFonts w:ascii="Cambria" w:eastAsia="Cambria" w:hAnsi="Cambria" w:cs="Cambria"/>
          <w:color w:val="auto"/>
          <w:sz w:val="24"/>
          <w:szCs w:val="24"/>
        </w:rPr>
        <w:t>L</w:t>
      </w:r>
      <w:r w:rsidR="00B05D72" w:rsidRPr="009B4023">
        <w:rPr>
          <w:rFonts w:ascii="Cambria" w:eastAsia="Cambria" w:hAnsi="Cambria" w:cs="Cambria"/>
          <w:color w:val="auto"/>
          <w:sz w:val="24"/>
          <w:szCs w:val="24"/>
        </w:rPr>
        <w:t>’INAF fornirà</w:t>
      </w:r>
      <w:r w:rsidRPr="009B4023">
        <w:rPr>
          <w:rFonts w:ascii="Cambria" w:eastAsia="Cambria" w:hAnsi="Cambria" w:cs="Cambria"/>
          <w:color w:val="auto"/>
          <w:sz w:val="24"/>
          <w:szCs w:val="24"/>
        </w:rPr>
        <w:t xml:space="preserve"> adeguato supporto allo sviluppo dell’accesso aperto in termini di risorse umane e finanziarie</w:t>
      </w:r>
      <w:r w:rsidR="00B05D72" w:rsidRPr="009B4023">
        <w:rPr>
          <w:rFonts w:ascii="Cambria" w:eastAsia="Cambria" w:hAnsi="Cambria" w:cs="Cambria"/>
          <w:color w:val="auto"/>
          <w:sz w:val="24"/>
          <w:szCs w:val="24"/>
        </w:rPr>
        <w:t xml:space="preserve"> attraverso la costituzione di</w:t>
      </w:r>
      <w:r w:rsidRPr="009B4023">
        <w:rPr>
          <w:rFonts w:ascii="Cambria" w:eastAsia="Cambria" w:hAnsi="Cambria" w:cs="Cambria"/>
          <w:color w:val="auto"/>
          <w:sz w:val="24"/>
          <w:szCs w:val="24"/>
        </w:rPr>
        <w:t xml:space="preserve"> un “Ufficio Open Access”</w:t>
      </w:r>
      <w:r w:rsidR="00B05D72" w:rsidRPr="009B4023">
        <w:rPr>
          <w:rFonts w:ascii="Cambria" w:eastAsia="Cambria" w:hAnsi="Cambria" w:cs="Cambria"/>
          <w:color w:val="auto"/>
          <w:sz w:val="24"/>
          <w:szCs w:val="24"/>
        </w:rPr>
        <w:t xml:space="preserve"> in seno alle proprie articolazioni ed uffici</w:t>
      </w:r>
      <w:r w:rsidRPr="009B4023">
        <w:rPr>
          <w:rFonts w:ascii="Cambria" w:eastAsia="Cambria" w:hAnsi="Cambria" w:cs="Cambria"/>
          <w:color w:val="auto"/>
          <w:sz w:val="24"/>
          <w:szCs w:val="24"/>
        </w:rPr>
        <w:t>.</w:t>
      </w:r>
    </w:p>
    <w:p w:rsidR="00BE21C4" w:rsidRDefault="003F7DA0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L’INAF prevede un’attività di informazione, formazione e aggiornamento rivolta sia al personale di ricerca e tecnologo sia al personale tecnico- amministrativo in relazione ai temi dell’accesso aperto e agli strumenti operativi forniti. </w:t>
      </w: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Art. 4 </w:t>
      </w: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Politica </w:t>
      </w:r>
    </w:p>
    <w:p w:rsidR="00BE21C4" w:rsidRDefault="003F7DA0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L’INAF prevede che, a partire dal **/**/****, ogni ricercatore inserisca nell’Archivio Istituzionale ad accesso aperto al momento della pubblicazione </w:t>
      </w:r>
    </w:p>
    <w:p w:rsidR="00BE21C4" w:rsidRDefault="003F7DA0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 metadati del prodotto, che saranno sempre visibili ad accesso aperto, e che nel caso delle monografie comprendono sempre Indice e Abstract; </w:t>
      </w:r>
    </w:p>
    <w:p w:rsidR="00BE21C4" w:rsidRDefault="003F7DA0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copia digitale del prodotto nella versione consentita dall’editore per la diffusione in accesso aperto (pre-print o post-print), che verrà messa a disposizione del pubblico senza finalità di lucro; laddove questa copia sia già stata depositata in un archivio aperto disciplinare, quale arXiv, è sufficiente l’indicazione della relativa URL;</w:t>
      </w:r>
    </w:p>
    <w:p w:rsidR="00BE21C4" w:rsidRDefault="003F7DA0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copia digitale del prodotto nella versione utile alla valutazione interna e nazionale (pdf editoriale), che resterà ad accesso riservato .</w:t>
      </w: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E21C4" w:rsidRDefault="003F7DA0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Si può derogare alla previsione di cui al punto b) solo in caso di: </w:t>
      </w:r>
    </w:p>
    <w:p w:rsidR="00BE21C4" w:rsidRDefault="003F7DA0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rifiuto dell’editore, come esplicitato nella banca dati SHERPA-RoMEO o da attestazione resa dall’editore stesso; </w:t>
      </w:r>
    </w:p>
    <w:p w:rsidR="00BE21C4" w:rsidRDefault="003F7DA0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rifiuto documentato di uno dei coautori o del curatore del volume; </w:t>
      </w:r>
    </w:p>
    <w:p w:rsidR="00BE21C4" w:rsidRDefault="003F7DA0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motivi di sicurezza pubblica o nazionale; </w:t>
      </w:r>
    </w:p>
    <w:p w:rsidR="00BE21C4" w:rsidRDefault="003F7DA0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motivi di privacy o presenza di dati sensibili;</w:t>
      </w:r>
    </w:p>
    <w:p w:rsidR="00BE21C4" w:rsidRDefault="003F7DA0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sostanziale differenza tra la versione consentita dall’editore per la diffusione ad accesso aperto e quella definitiva;</w:t>
      </w:r>
    </w:p>
    <w:p w:rsidR="00BE21C4" w:rsidRDefault="003F7DA0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presenza di immagini su cui insistano diritti esclusivi, qualora le immagini costituiscano parte essenziale e imprescindibile della pubblicazione </w:t>
      </w:r>
    </w:p>
    <w:p w:rsidR="00BE21C4" w:rsidRDefault="00BE21C4">
      <w:pPr>
        <w:spacing w:after="0" w:line="240" w:lineRule="auto"/>
        <w:ind w:left="1068"/>
        <w:jc w:val="both"/>
        <w:rPr>
          <w:rFonts w:ascii="Cambria" w:eastAsia="Cambria" w:hAnsi="Cambria" w:cs="Cambria"/>
          <w:sz w:val="24"/>
          <w:szCs w:val="24"/>
        </w:rPr>
      </w:pPr>
    </w:p>
    <w:p w:rsidR="00BE21C4" w:rsidRDefault="003F7DA0">
      <w:pPr>
        <w:spacing w:after="0" w:line="240" w:lineRule="auto"/>
        <w:ind w:left="10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Solo per questi motivi sarà possibile attivare un periodo di embargo, con una richiesta motivata rivolta a</w:t>
      </w:r>
      <w:r w:rsidR="009C4492">
        <w:rPr>
          <w:rFonts w:ascii="Cambria" w:eastAsia="Cambria" w:hAnsi="Cambria" w:cs="Cambria"/>
          <w:sz w:val="24"/>
          <w:szCs w:val="24"/>
        </w:rPr>
        <w:t xml:space="preserve">d un’apposita </w:t>
      </w:r>
      <w:r w:rsidR="009C4492" w:rsidRPr="009C4492">
        <w:rPr>
          <w:rFonts w:ascii="Cambria" w:hAnsi="Cambria"/>
          <w:color w:val="auto"/>
          <w:sz w:val="24"/>
          <w:szCs w:val="24"/>
        </w:rPr>
        <w:t>Commissione</w:t>
      </w:r>
      <w:r w:rsidR="009C4492" w:rsidRPr="007C2F9F">
        <w:rPr>
          <w:rFonts w:ascii="Cambria" w:hAnsi="Cambria"/>
          <w:color w:val="FF0000"/>
          <w:sz w:val="24"/>
          <w:szCs w:val="24"/>
        </w:rPr>
        <w:t xml:space="preserve"> </w:t>
      </w:r>
      <w:r w:rsidR="009C4492" w:rsidRPr="007C2F9F">
        <w:rPr>
          <w:rFonts w:ascii="Cambria" w:hAnsi="Cambria"/>
          <w:sz w:val="24"/>
          <w:szCs w:val="24"/>
        </w:rPr>
        <w:t>che verrà nominata dal Consiglio di Amministrazione</w:t>
      </w:r>
      <w:r w:rsidR="009C4492">
        <w:rPr>
          <w:rFonts w:ascii="Cambria" w:hAnsi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9C4492">
        <w:rPr>
          <w:rFonts w:ascii="Cambria" w:eastAsia="Cambria" w:hAnsi="Cambria" w:cs="Cambria"/>
          <w:color w:val="auto"/>
          <w:sz w:val="24"/>
          <w:szCs w:val="24"/>
        </w:rPr>
        <w:t>Tale</w:t>
      </w:r>
      <w:r w:rsidRPr="009C4492">
        <w:rPr>
          <w:rFonts w:ascii="Cambria" w:eastAsia="Cambria" w:hAnsi="Cambria" w:cs="Cambria"/>
          <w:color w:val="auto"/>
          <w:sz w:val="24"/>
          <w:szCs w:val="24"/>
        </w:rPr>
        <w:t xml:space="preserve"> Commissione</w:t>
      </w:r>
      <w:r>
        <w:rPr>
          <w:rFonts w:ascii="Cambria" w:eastAsia="Cambria" w:hAnsi="Cambria" w:cs="Cambria"/>
          <w:sz w:val="24"/>
          <w:szCs w:val="24"/>
        </w:rPr>
        <w:t xml:space="preserve"> stabilirà i termini dell’embargo stesso. In caso di presentazione della domanda, fino a decisione della </w:t>
      </w:r>
      <w:r w:rsidRPr="00954871">
        <w:rPr>
          <w:rFonts w:ascii="Cambria" w:eastAsia="Cambria" w:hAnsi="Cambria" w:cs="Cambria"/>
          <w:color w:val="auto"/>
          <w:sz w:val="24"/>
          <w:szCs w:val="24"/>
        </w:rPr>
        <w:t>Commissione</w:t>
      </w:r>
      <w:r>
        <w:rPr>
          <w:rFonts w:ascii="Cambria" w:eastAsia="Cambria" w:hAnsi="Cambria" w:cs="Cambria"/>
          <w:sz w:val="24"/>
          <w:szCs w:val="24"/>
        </w:rPr>
        <w:t>, l’obbligo di cui alla lettera b) si considererà sospeso.</w:t>
      </w:r>
    </w:p>
    <w:p w:rsidR="00BE21C4" w:rsidRDefault="003F7DA0">
      <w:pPr>
        <w:spacing w:after="0" w:line="240" w:lineRule="auto"/>
        <w:ind w:left="10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E21C4" w:rsidRDefault="003F7DA0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commentRangeStart w:id="0"/>
      <w:r>
        <w:rPr>
          <w:rFonts w:ascii="Cambria" w:eastAsia="Cambria" w:hAnsi="Cambria" w:cs="Cambria"/>
          <w:sz w:val="24"/>
          <w:szCs w:val="24"/>
        </w:rPr>
        <w:t xml:space="preserve">L’INAF applica le stesse regole di cui al comma 1 anche ai prodotti pubblicati prima del **/**/**** per l’arco temporale oggetto dell’esercizio di valutazione interna. </w:t>
      </w:r>
      <w:commentRangeEnd w:id="0"/>
      <w:r w:rsidR="00AD2B0A">
        <w:rPr>
          <w:rStyle w:val="CommentReference"/>
        </w:rPr>
        <w:commentReference w:id="0"/>
      </w:r>
    </w:p>
    <w:p w:rsidR="00BE21C4" w:rsidRDefault="003F7DA0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Ai fini degli esercizi di valutazione interna verranno considerati solo i prodotti di cui siano stati inseriti nell’Archivio Istituzionale ad accesso aperto sia i metadati di cui al comma 1 lett. a), sia le copie digitali di cui al medesimo comma, lett. b) e c). Per tutta la durata del periodo di embargo eventualmente concesso dalla </w:t>
      </w:r>
      <w:r w:rsidRPr="00296064">
        <w:rPr>
          <w:rFonts w:ascii="Cambria" w:eastAsia="Cambria" w:hAnsi="Cambria" w:cs="Cambria"/>
          <w:color w:val="auto"/>
          <w:sz w:val="24"/>
          <w:szCs w:val="24"/>
        </w:rPr>
        <w:t>Commissione</w:t>
      </w:r>
      <w:r>
        <w:rPr>
          <w:rFonts w:ascii="Cambria" w:eastAsia="Cambria" w:hAnsi="Cambria" w:cs="Cambria"/>
          <w:sz w:val="24"/>
          <w:szCs w:val="24"/>
        </w:rPr>
        <w:t xml:space="preserve"> sulla copia digitale di cui al comma 1 lett. b), il prodotto verrà in ogni caso preso in considerazione ai fini degli esercizi di valutazione interna. </w:t>
      </w:r>
    </w:p>
    <w:p w:rsidR="00BE21C4" w:rsidRDefault="003F7DA0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 l’inserimento della copia digitale di cui all’art. 4, comma 1, lettera c) il ricercatore autorizza l’INAF a riprodurla e distribuirla nei limiti di quanto è necessario per la valutazione interna e nazionale; con l’inserimento della copia digitale di cui all’art. 4, comma 1, lettera b) il ricercatore autorizza l’INAF a metterla a disposizione del pubblico secondo modalità ad accesso aperto, senza finalità di lucro. È facoltà del ricercatore disporre che la copia digitale di cui all’art. 4 comma 1 lett. b) sia messa a disposizione del pubblico accompagnata da una licenza Creative Commons.</w:t>
      </w:r>
    </w:p>
    <w:p w:rsidR="00BE21C4" w:rsidRDefault="003F7DA0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È facoltà del ricercatore inserire copia digitale di prodotti accettati per la pubblicazione ma non ancora pubblicati, nella versione consentita dall’editore per l’accesso aperto. </w:t>
      </w:r>
    </w:p>
    <w:p w:rsidR="00BE21C4" w:rsidRDefault="003F7DA0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L’INAF, in linea con la Raccomandazione UE del 17 luglio 2012, offre ai propri ricercatori la possibilità di depositare ad accesso aperto i set di dati che supportano i prodotti della ricerca. La possibilità di deposito si estende a ogni set di dati che il ricercatore riterrà opportuno rendere disponibile ad accesso aperto. </w:t>
      </w:r>
    </w:p>
    <w:p w:rsidR="00BE21C4" w:rsidRDefault="003F7DA0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È raccomandato l’uso dell’identificativo univoco fornito dall’Archivio Istituzionale nella descrizione bibliografica del prodotto. </w:t>
      </w:r>
    </w:p>
    <w:p w:rsidR="00BE21C4" w:rsidRDefault="003F7DA0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Art. 5 </w:t>
      </w: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Supporto, monitoraggio e risoluzione di controversie </w:t>
      </w:r>
    </w:p>
    <w:p w:rsidR="00BE21C4" w:rsidRDefault="003F7DA0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 “Ufficio Open Access” assicura i seguenti servizi: </w:t>
      </w:r>
    </w:p>
    <w:p w:rsidR="00BE21C4" w:rsidRDefault="003F7DA0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supporto tecnico nel processo di deposito dei prodotti nell’Archivio; </w:t>
      </w:r>
    </w:p>
    <w:p w:rsidR="00BE21C4" w:rsidRDefault="003F7DA0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verifica delle politiche editoriali relative ai singoli prodotti della ricerca; </w:t>
      </w:r>
    </w:p>
    <w:p w:rsidR="00BE21C4" w:rsidRDefault="003F7DA0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questioni di diritto d’autore legate a specifici prodotti; </w:t>
      </w:r>
    </w:p>
    <w:p w:rsidR="00BE21C4" w:rsidRDefault="003F7DA0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validazione dei metadati descrittivi del prodotto;</w:t>
      </w:r>
    </w:p>
    <w:p w:rsidR="00BE21C4" w:rsidRDefault="003F7DA0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formazione all’utenza;</w:t>
      </w:r>
    </w:p>
    <w:p w:rsidR="00BE21C4" w:rsidRDefault="003F7DA0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informazione (pagine web, seminari, convegni ecc.)</w:t>
      </w:r>
    </w:p>
    <w:p w:rsidR="00BE21C4" w:rsidRDefault="003F7DA0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 i dati depositati nell’Archivio Istituzionale ad accesso aperto, l’INAF assicura inoltre il supporto in relazione a: </w:t>
      </w:r>
    </w:p>
    <w:p w:rsidR="00BE21C4" w:rsidRDefault="003F7DA0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consulenza su formati e standard internazionali; </w:t>
      </w:r>
    </w:p>
    <w:p w:rsidR="00BE21C4" w:rsidRDefault="003F7DA0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assegnazione di identificatori univoci. </w:t>
      </w:r>
    </w:p>
    <w:p w:rsidR="00BE21C4" w:rsidRDefault="003F7DA0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 ogni Struttura di ricerca dell’INAF vengono individuati </w:t>
      </w:r>
      <w:r w:rsidRPr="005054BC">
        <w:rPr>
          <w:rFonts w:ascii="Cambria" w:eastAsia="Cambria" w:hAnsi="Cambria" w:cs="Cambria"/>
          <w:color w:val="auto"/>
          <w:sz w:val="24"/>
          <w:szCs w:val="24"/>
        </w:rPr>
        <w:t>uno o più referenti per l’accesso aperto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che facilitino l’applicazione de</w:t>
      </w:r>
      <w:r w:rsidR="00296E7F">
        <w:rPr>
          <w:rFonts w:ascii="Cambria" w:eastAsia="Cambria" w:hAnsi="Cambria" w:cs="Cambria"/>
          <w:sz w:val="24"/>
          <w:szCs w:val="24"/>
        </w:rPr>
        <w:t xml:space="preserve">lla </w:t>
      </w:r>
      <w:r>
        <w:rPr>
          <w:rFonts w:ascii="Cambria" w:eastAsia="Cambria" w:hAnsi="Cambria" w:cs="Cambria"/>
          <w:sz w:val="24"/>
          <w:szCs w:val="24"/>
        </w:rPr>
        <w:t xml:space="preserve">presente </w:t>
      </w:r>
      <w:r w:rsidR="00296E7F">
        <w:rPr>
          <w:rFonts w:ascii="Cambria" w:eastAsia="Cambria" w:hAnsi="Cambria" w:cs="Cambria"/>
          <w:sz w:val="24"/>
          <w:szCs w:val="24"/>
        </w:rPr>
        <w:t>Policy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BE21C4" w:rsidRDefault="003F7DA0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</w:t>
      </w:r>
      <w:r w:rsidR="00781B73">
        <w:rPr>
          <w:rFonts w:ascii="Cambria" w:eastAsia="Cambria" w:hAnsi="Cambria" w:cs="Cambria"/>
          <w:sz w:val="24"/>
          <w:szCs w:val="24"/>
        </w:rPr>
        <w:t>Ufficio Open Access dell’</w:t>
      </w:r>
      <w:r>
        <w:rPr>
          <w:rFonts w:ascii="Cambria" w:eastAsia="Cambria" w:hAnsi="Cambria" w:cs="Cambria"/>
          <w:sz w:val="24"/>
          <w:szCs w:val="24"/>
        </w:rPr>
        <w:t xml:space="preserve">INAF assicura il monitoraggio periodico dell’allineamento dei ricercatori alla presente regolamentazione. </w:t>
      </w:r>
    </w:p>
    <w:p w:rsidR="00BE21C4" w:rsidRDefault="003F7DA0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L’organo istituzionale deputato alla risoluzione di controversie interpretative è la </w:t>
      </w:r>
      <w:r w:rsidRPr="00156D43">
        <w:rPr>
          <w:rFonts w:ascii="Cambria" w:eastAsia="Cambria" w:hAnsi="Cambria" w:cs="Cambria"/>
          <w:color w:val="auto"/>
          <w:sz w:val="24"/>
          <w:szCs w:val="24"/>
        </w:rPr>
        <w:t>Commissione</w:t>
      </w:r>
      <w:r w:rsidR="005D134A">
        <w:rPr>
          <w:rFonts w:ascii="Cambria" w:eastAsia="Cambria" w:hAnsi="Cambria" w:cs="Cambria"/>
          <w:sz w:val="24"/>
          <w:szCs w:val="24"/>
        </w:rPr>
        <w:t xml:space="preserve"> sopra indicata.</w:t>
      </w: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Art. 6 </w:t>
      </w: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Servizi a valore aggiunto </w:t>
      </w:r>
    </w:p>
    <w:p w:rsidR="00BE21C4" w:rsidRDefault="003F7DA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L’INAF in relazione al materiale depositato nell’Archivio Istituzionale, offre servizi a valore aggiunto: </w:t>
      </w:r>
    </w:p>
    <w:p w:rsidR="00BE21C4" w:rsidRDefault="003F7DA0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statistiche d’uso (accessi e </w:t>
      </w:r>
      <w:r>
        <w:rPr>
          <w:rFonts w:ascii="Cambria" w:eastAsia="Cambria" w:hAnsi="Cambria" w:cs="Cambria"/>
          <w:i/>
          <w:sz w:val="24"/>
          <w:szCs w:val="24"/>
        </w:rPr>
        <w:t>downloads</w:t>
      </w:r>
      <w:r>
        <w:rPr>
          <w:rFonts w:ascii="Cambria" w:eastAsia="Cambria" w:hAnsi="Cambria" w:cs="Cambria"/>
          <w:sz w:val="24"/>
          <w:szCs w:val="24"/>
        </w:rPr>
        <w:t xml:space="preserve">) del singolo prodotto della ricerca; </w:t>
      </w:r>
    </w:p>
    <w:p w:rsidR="00BE21C4" w:rsidRDefault="003F7DA0">
      <w:pPr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integrazione con i dati citazionali delle principali banche dati internazionali, ove applicabili e ove consentiti dai contratti in essere con i fornitori; </w:t>
      </w:r>
    </w:p>
    <w:p w:rsidR="00BE21C4" w:rsidRDefault="003F7DA0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integrazione e interoperabilità con gli altri archivi Open Access; </w:t>
      </w:r>
    </w:p>
    <w:p w:rsidR="00BE21C4" w:rsidRDefault="003F7DA0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integrazione con i principali </w:t>
      </w:r>
      <w:r>
        <w:rPr>
          <w:rFonts w:ascii="Cambria" w:eastAsia="Cambria" w:hAnsi="Cambria" w:cs="Cambria"/>
          <w:i/>
          <w:sz w:val="24"/>
          <w:szCs w:val="24"/>
        </w:rPr>
        <w:t>academic social networks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BE21C4" w:rsidRDefault="00BE21C4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Art. 7</w:t>
      </w:r>
    </w:p>
    <w:p w:rsidR="00BE21C4" w:rsidRDefault="003F7DA0" w:rsidP="00AD2B0A">
      <w:pPr>
        <w:spacing w:after="0" w:line="240" w:lineRule="auto"/>
        <w:jc w:val="both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Istituzione della serie “Rapporti tecnici INAF / INAF Technical Reports”</w:t>
      </w:r>
    </w:p>
    <w:p w:rsidR="00BE21C4" w:rsidRDefault="003F7DA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fine di valorizzare adeguatamente i prodotti </w:t>
      </w:r>
      <w:r w:rsidR="00094C09"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he non seguono il normale iter di pubblicazione, all’interno dell’Archivio istituzionale ad accesso aperto viene istituita una serie denominata “</w:t>
      </w:r>
      <w:r>
        <w:rPr>
          <w:rFonts w:ascii="Cambria" w:eastAsia="Cambria" w:hAnsi="Cambria" w:cs="Cambria"/>
          <w:i/>
          <w:sz w:val="24"/>
          <w:szCs w:val="24"/>
        </w:rPr>
        <w:t>Rapporti tecnici INAF / INAF Technical Reports</w:t>
      </w:r>
      <w:r w:rsidR="00221600">
        <w:rPr>
          <w:rFonts w:ascii="Cambria" w:eastAsia="Cambria" w:hAnsi="Cambria" w:cs="Cambria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BE21C4" w:rsidRDefault="003F7DA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 questa serie, previa autorizzazione del Direttore di Struttura di afferenza del primo autore e dopo un </w:t>
      </w:r>
      <w:commentRangeStart w:id="1"/>
      <w:r>
        <w:rPr>
          <w:rFonts w:ascii="Cambria" w:eastAsia="Cambria" w:hAnsi="Cambria" w:cs="Cambria"/>
          <w:sz w:val="24"/>
          <w:szCs w:val="24"/>
        </w:rPr>
        <w:t>processo di light review interna</w:t>
      </w:r>
      <w:commentRangeEnd w:id="1"/>
      <w:r w:rsidR="00985093">
        <w:rPr>
          <w:rStyle w:val="CommentReference"/>
        </w:rPr>
        <w:commentReference w:id="1"/>
      </w:r>
      <w:r>
        <w:rPr>
          <w:rFonts w:ascii="Cambria" w:eastAsia="Cambria" w:hAnsi="Cambria" w:cs="Cambria"/>
          <w:sz w:val="24"/>
          <w:szCs w:val="24"/>
        </w:rPr>
        <w:t xml:space="preserve">, dal **/**/**** confluiranno tutti </w:t>
      </w:r>
      <w:commentRangeStart w:id="2"/>
      <w:r>
        <w:rPr>
          <w:rFonts w:ascii="Cambria" w:eastAsia="Cambria" w:hAnsi="Cambria" w:cs="Cambria"/>
          <w:sz w:val="24"/>
          <w:szCs w:val="24"/>
        </w:rPr>
        <w:t xml:space="preserve">i rapporti tecnici concernenti metodologie, progetti, applicazioni e innovazioni strumentali, tecniche di raccolta dati, manuali e software, sviluppati nei vari ambiti disciplinari all'interno dell'INAF. </w:t>
      </w:r>
      <w:commentRangeEnd w:id="2"/>
      <w:r w:rsidR="00985093">
        <w:rPr>
          <w:rStyle w:val="CommentReference"/>
        </w:rPr>
        <w:commentReference w:id="2"/>
      </w:r>
    </w:p>
    <w:p w:rsidR="00BE21C4" w:rsidRDefault="003F7DA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Dal **/**/**** le serie dei rapporti tecnici eventualmente prodotti dalle varie Strutture INAF </w:t>
      </w:r>
      <w:commentRangeStart w:id="3"/>
      <w:r>
        <w:rPr>
          <w:rFonts w:ascii="Cambria" w:eastAsia="Cambria" w:hAnsi="Cambria" w:cs="Cambria"/>
          <w:sz w:val="24"/>
          <w:szCs w:val="24"/>
        </w:rPr>
        <w:t>cessano le pubblicazioni.</w:t>
      </w:r>
      <w:commentRangeEnd w:id="3"/>
      <w:r w:rsidR="00985093">
        <w:rPr>
          <w:rStyle w:val="CommentReference"/>
        </w:rPr>
        <w:commentReference w:id="3"/>
      </w:r>
    </w:p>
    <w:sectPr w:rsidR="00BE21C4" w:rsidSect="00483F1A">
      <w:type w:val="continuous"/>
      <w:pgSz w:w="11906" w:h="16838"/>
      <w:pgMar w:top="1417" w:right="1417" w:bottom="1700" w:left="1417" w:header="709" w:footer="709" w:gutter="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icrosoft Office User" w:date="2018-06-26T14:40:00Z" w:initials="MOU">
    <w:p w:rsidR="005C4A27" w:rsidRDefault="00AD2B0A">
      <w:pPr>
        <w:pStyle w:val="CommentText"/>
      </w:pPr>
      <w:r>
        <w:rPr>
          <w:rStyle w:val="CommentReference"/>
        </w:rPr>
        <w:annotationRef/>
      </w:r>
      <w:r>
        <w:t>Non sono sicuri di avere capito cosa vuole dire in pratica.</w:t>
      </w:r>
    </w:p>
    <w:p w:rsidR="005C4A27" w:rsidRDefault="005C4A27">
      <w:pPr>
        <w:pStyle w:val="CommentText"/>
      </w:pPr>
    </w:p>
    <w:p w:rsidR="005C4A27" w:rsidRDefault="005C4A27" w:rsidP="005C4A27">
      <w:pPr>
        <w:jc w:val="both"/>
        <w:rPr>
          <w:sz w:val="24"/>
          <w:szCs w:val="24"/>
        </w:rPr>
      </w:pPr>
      <w:r>
        <w:t xml:space="preserve">Anto: </w:t>
      </w:r>
      <w:r>
        <w:rPr>
          <w:sz w:val="24"/>
          <w:szCs w:val="24"/>
        </w:rPr>
        <w:t xml:space="preserve">La frase </w:t>
      </w:r>
      <w:r w:rsidRPr="007C2F9F">
        <w:rPr>
          <w:i/>
          <w:sz w:val="24"/>
          <w:szCs w:val="24"/>
        </w:rPr>
        <w:t>L’INAF applica le stesse regole di cui al comma 1 anche ai prodotti pubblicati prima del **/**/**** per l’arco temporale oggetto dell’esercizio di valutazione interna</w:t>
      </w:r>
      <w:r>
        <w:rPr>
          <w:sz w:val="24"/>
          <w:szCs w:val="24"/>
        </w:rPr>
        <w:t xml:space="preserve"> vuole dire che tutti i prodotti che andranno valutati nella prossima VQR devono essere obbligatoriamente inseriti nel repository, con gli stessi criteri e con le stesse regole.</w:t>
      </w:r>
    </w:p>
    <w:p w:rsidR="005C4A27" w:rsidRDefault="005C4A27" w:rsidP="005C4A27">
      <w:pPr>
        <w:rPr>
          <w:sz w:val="24"/>
          <w:szCs w:val="24"/>
        </w:rPr>
      </w:pPr>
      <w:r>
        <w:rPr>
          <w:sz w:val="24"/>
          <w:szCs w:val="24"/>
        </w:rPr>
        <w:t>Se non vengono inseriti nel repository non possono poi essere valutati.</w:t>
      </w:r>
    </w:p>
    <w:p w:rsidR="005C4A27" w:rsidRDefault="005C4A27" w:rsidP="005C4A27">
      <w:pPr>
        <w:rPr>
          <w:sz w:val="24"/>
          <w:szCs w:val="24"/>
        </w:rPr>
      </w:pPr>
      <w:r>
        <w:rPr>
          <w:sz w:val="24"/>
          <w:szCs w:val="24"/>
        </w:rPr>
        <w:t>In sostanza, dovrebbero essere obbligatoriamente inseriti anche tutti i prodotti dal 2015 in poi.</w:t>
      </w:r>
    </w:p>
    <w:p w:rsidR="00AD2B0A" w:rsidRDefault="00AD2B0A">
      <w:pPr>
        <w:pStyle w:val="CommentText"/>
      </w:pPr>
    </w:p>
  </w:comment>
  <w:comment w:id="1" w:author="Microsoft Office User" w:date="2018-06-26T14:49:00Z" w:initials="MOU">
    <w:p w:rsidR="006F52A1" w:rsidRDefault="00985093">
      <w:pPr>
        <w:pStyle w:val="CommentText"/>
      </w:pPr>
      <w:r>
        <w:rPr>
          <w:rStyle w:val="CommentReference"/>
        </w:rPr>
        <w:annotationRef/>
      </w:r>
      <w:r>
        <w:t>In capo a chi ? Dove è descritta ?</w:t>
      </w:r>
    </w:p>
    <w:p w:rsidR="006F52A1" w:rsidRPr="006F52A1" w:rsidRDefault="006F52A1" w:rsidP="006F52A1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>
        <w:t>Anto: proponiamo di sostituire io comma 2 così:</w:t>
      </w:r>
    </w:p>
    <w:p w:rsidR="006F52A1" w:rsidRPr="007F02FC" w:rsidRDefault="006F52A1" w:rsidP="006F52A1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</w:rPr>
      </w:pPr>
      <w:r w:rsidRPr="007F02FC">
        <w:rPr>
          <w:rFonts w:ascii="Cambria" w:hAnsi="Cambria"/>
          <w:color w:val="000000"/>
        </w:rPr>
        <w:t xml:space="preserve">Prima dell’inserimento di un prodotto in questa serie, il primo autore dovrà essere autorizzato dal suo Direttore di Struttura. Quindi invierà il prodotto a due referee interni all’INAF per una light review. Un’apposita guida disciplinerà </w:t>
      </w:r>
      <w:r>
        <w:rPr>
          <w:rFonts w:ascii="Cambria" w:hAnsi="Cambria"/>
          <w:color w:val="000000"/>
        </w:rPr>
        <w:t xml:space="preserve">questo </w:t>
      </w:r>
      <w:r w:rsidRPr="007F02FC">
        <w:rPr>
          <w:rFonts w:ascii="Cambria" w:hAnsi="Cambria"/>
          <w:color w:val="000000"/>
        </w:rPr>
        <w:t>processo di sottomissione.</w:t>
      </w:r>
    </w:p>
    <w:p w:rsidR="006F52A1" w:rsidRDefault="006F52A1">
      <w:pPr>
        <w:pStyle w:val="CommentText"/>
      </w:pPr>
    </w:p>
    <w:p w:rsidR="00985093" w:rsidRDefault="00985093">
      <w:pPr>
        <w:pStyle w:val="CommentText"/>
      </w:pPr>
    </w:p>
  </w:comment>
  <w:comment w:id="2" w:author="Microsoft Office User" w:date="2018-05-07T17:56:00Z" w:initials="MOU">
    <w:p w:rsidR="00985093" w:rsidRDefault="00985093">
      <w:pPr>
        <w:pStyle w:val="CommentText"/>
      </w:pPr>
      <w:r>
        <w:rPr>
          <w:rStyle w:val="CommentReference"/>
        </w:rPr>
        <w:annotationRef/>
      </w:r>
      <w:r>
        <w:t xml:space="preserve">Perché specificare ? </w:t>
      </w:r>
    </w:p>
  </w:comment>
  <w:comment w:id="3" w:author="Microsoft Office User" w:date="2018-06-26T14:50:00Z" w:initials="MOU">
    <w:p w:rsidR="00005B3F" w:rsidRDefault="00985093">
      <w:pPr>
        <w:pStyle w:val="CommentText"/>
      </w:pPr>
      <w:r>
        <w:rPr>
          <w:rStyle w:val="CommentReference"/>
        </w:rPr>
        <w:annotationRef/>
      </w:r>
      <w:r>
        <w:t>E’ necessario ? Alcune sono storiche…..</w:t>
      </w:r>
      <w:bookmarkStart w:id="4" w:name="_GoBack"/>
      <w:bookmarkEnd w:id="4"/>
    </w:p>
    <w:p w:rsidR="00005B3F" w:rsidRDefault="00005B3F">
      <w:pPr>
        <w:pStyle w:val="CommentText"/>
      </w:pPr>
    </w:p>
    <w:p w:rsidR="00005B3F" w:rsidRDefault="00005B3F">
      <w:pPr>
        <w:pStyle w:val="CommentText"/>
      </w:pPr>
      <w:r>
        <w:t>Anto:</w:t>
      </w:r>
    </w:p>
    <w:p w:rsidR="00005B3F" w:rsidRDefault="00005B3F" w:rsidP="00005B3F">
      <w:pPr>
        <w:jc w:val="both"/>
        <w:rPr>
          <w:sz w:val="24"/>
          <w:szCs w:val="24"/>
        </w:rPr>
      </w:pPr>
      <w:r>
        <w:rPr>
          <w:sz w:val="24"/>
          <w:szCs w:val="24"/>
        </w:rPr>
        <w:t>E’ necessario dire che le serie precedenti vengono chiuse, proprio perché solo in questo modo tutti i rapporti tecnici possono confluire nel nuovo repository e con le nuove regole stabilite.</w:t>
      </w:r>
    </w:p>
    <w:p w:rsidR="00005B3F" w:rsidRDefault="00005B3F" w:rsidP="00005B3F">
      <w:pPr>
        <w:jc w:val="both"/>
        <w:rPr>
          <w:sz w:val="24"/>
          <w:szCs w:val="24"/>
        </w:rPr>
      </w:pPr>
      <w:r>
        <w:rPr>
          <w:sz w:val="24"/>
          <w:szCs w:val="24"/>
        </w:rPr>
        <w:t>Le serie pregresse vengono comunque tutte importate nel repository.</w:t>
      </w:r>
    </w:p>
    <w:p w:rsidR="00005B3F" w:rsidRDefault="00005B3F" w:rsidP="00005B3F">
      <w:pPr>
        <w:jc w:val="both"/>
        <w:rPr>
          <w:sz w:val="24"/>
          <w:szCs w:val="24"/>
        </w:rPr>
      </w:pPr>
      <w:r>
        <w:rPr>
          <w:sz w:val="24"/>
          <w:szCs w:val="24"/>
        </w:rPr>
        <w:t>C’è da dire che l’autorizzazione del Direttore di Struttura “assegna” il rapporto tecnico alla Struttura stessa e quindi non avrebbe alcun senso mantenere parallelamente altre serie di rapporti tecnici di Struttura.</w:t>
      </w:r>
    </w:p>
    <w:p w:rsidR="00985093" w:rsidRDefault="0098509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95167A" w15:done="0"/>
  <w15:commentEx w15:paraId="138C1479" w15:done="0"/>
  <w15:commentEx w15:paraId="72877B72" w15:done="0"/>
  <w15:commentEx w15:paraId="5297B45B" w15:done="0"/>
  <w15:commentEx w15:paraId="20EEEF49" w15:done="0"/>
  <w15:commentEx w15:paraId="095E9066" w15:done="0"/>
  <w15:commentEx w15:paraId="0BD65A78" w15:done="0"/>
  <w15:commentEx w15:paraId="39597706" w15:done="0"/>
  <w15:commentEx w15:paraId="3837FB52" w15:done="0"/>
  <w15:commentEx w15:paraId="56B13F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95167A" w16cid:durableId="1E9B0C45"/>
  <w16cid:commentId w16cid:paraId="138C1479" w16cid:durableId="1E9B0CBA"/>
  <w16cid:commentId w16cid:paraId="72877B72" w16cid:durableId="1E9B0D33"/>
  <w16cid:commentId w16cid:paraId="5297B45B" w16cid:durableId="1E9B0E2E"/>
  <w16cid:commentId w16cid:paraId="20EEEF49" w16cid:durableId="1E9B0E4C"/>
  <w16cid:commentId w16cid:paraId="095E9066" w16cid:durableId="1E9B1150"/>
  <w16cid:commentId w16cid:paraId="0BD65A78" w16cid:durableId="1E9B118C"/>
  <w16cid:commentId w16cid:paraId="39597706" w16cid:durableId="1E9B11BE"/>
  <w16cid:commentId w16cid:paraId="3837FB52" w16cid:durableId="1E9B11DA"/>
  <w16cid:commentId w16cid:paraId="56B13FF8" w16cid:durableId="1E9B11EA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73" w:rsidRDefault="00B17E73">
      <w:pPr>
        <w:spacing w:after="0" w:line="240" w:lineRule="auto"/>
      </w:pPr>
      <w:r>
        <w:separator/>
      </w:r>
    </w:p>
  </w:endnote>
  <w:endnote w:type="continuationSeparator" w:id="0">
    <w:p w:rsidR="00B17E73" w:rsidRDefault="00B1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C4" w:rsidRDefault="00BE21C4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73" w:rsidRDefault="00B17E73">
      <w:pPr>
        <w:spacing w:after="0" w:line="240" w:lineRule="auto"/>
      </w:pPr>
      <w:r>
        <w:separator/>
      </w:r>
    </w:p>
  </w:footnote>
  <w:footnote w:type="continuationSeparator" w:id="0">
    <w:p w:rsidR="00B17E73" w:rsidRDefault="00B1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BF0"/>
    <w:multiLevelType w:val="multilevel"/>
    <w:tmpl w:val="1866679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AC73FF"/>
    <w:multiLevelType w:val="multilevel"/>
    <w:tmpl w:val="9788C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D1400"/>
    <w:multiLevelType w:val="multilevel"/>
    <w:tmpl w:val="D170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C7F69"/>
    <w:multiLevelType w:val="multilevel"/>
    <w:tmpl w:val="57387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E3644"/>
    <w:multiLevelType w:val="multilevel"/>
    <w:tmpl w:val="032C14A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FC5828"/>
    <w:multiLevelType w:val="multilevel"/>
    <w:tmpl w:val="90B4E5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DB213D"/>
    <w:multiLevelType w:val="multilevel"/>
    <w:tmpl w:val="93D24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128E1"/>
    <w:multiLevelType w:val="multilevel"/>
    <w:tmpl w:val="E00605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EE138E"/>
    <w:multiLevelType w:val="multilevel"/>
    <w:tmpl w:val="B290BBFC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B62F16"/>
    <w:multiLevelType w:val="multilevel"/>
    <w:tmpl w:val="311A4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0F962D5"/>
    <w:multiLevelType w:val="multilevel"/>
    <w:tmpl w:val="910025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73138"/>
    <w:multiLevelType w:val="multilevel"/>
    <w:tmpl w:val="DAA8F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1C4"/>
    <w:rsid w:val="00005B3F"/>
    <w:rsid w:val="00094C09"/>
    <w:rsid w:val="00156D43"/>
    <w:rsid w:val="00221600"/>
    <w:rsid w:val="00290CC3"/>
    <w:rsid w:val="00296064"/>
    <w:rsid w:val="00296E7F"/>
    <w:rsid w:val="003763B9"/>
    <w:rsid w:val="003C73D7"/>
    <w:rsid w:val="003F7DA0"/>
    <w:rsid w:val="0043630B"/>
    <w:rsid w:val="00483F1A"/>
    <w:rsid w:val="005054BC"/>
    <w:rsid w:val="005C4A27"/>
    <w:rsid w:val="005D134A"/>
    <w:rsid w:val="006A67A8"/>
    <w:rsid w:val="006F52A1"/>
    <w:rsid w:val="00781B73"/>
    <w:rsid w:val="00791AEF"/>
    <w:rsid w:val="007D42B0"/>
    <w:rsid w:val="008542A3"/>
    <w:rsid w:val="00954871"/>
    <w:rsid w:val="00985093"/>
    <w:rsid w:val="00991454"/>
    <w:rsid w:val="009B4023"/>
    <w:rsid w:val="009C4492"/>
    <w:rsid w:val="00A850E1"/>
    <w:rsid w:val="00AD2B0A"/>
    <w:rsid w:val="00B05D72"/>
    <w:rsid w:val="00B17E73"/>
    <w:rsid w:val="00B96E75"/>
    <w:rsid w:val="00BB6AB3"/>
    <w:rsid w:val="00BE21C4"/>
    <w:rsid w:val="00C11BDE"/>
    <w:rsid w:val="00D8062B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3F1A"/>
  </w:style>
  <w:style w:type="paragraph" w:styleId="Heading1">
    <w:name w:val="heading 1"/>
    <w:basedOn w:val="Normal"/>
    <w:next w:val="Normal"/>
    <w:rsid w:val="00483F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83F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83F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83F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83F1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83F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Normal1">
    <w:name w:val="Table Normal1"/>
    <w:rsid w:val="00483F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483F1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83F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D2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B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0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52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6/09/relationships/commentsIds" Target="commentsIds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1984</Words>
  <Characters>11313</Characters>
  <Application>Microsoft Macintosh Word</Application>
  <DocSecurity>0</DocSecurity>
  <Lines>94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Antonella Gasperini</cp:lastModifiedBy>
  <cp:revision>33</cp:revision>
  <dcterms:created xsi:type="dcterms:W3CDTF">2018-06-26T12:28:00Z</dcterms:created>
  <dcterms:modified xsi:type="dcterms:W3CDTF">2018-06-26T13:33:00Z</dcterms:modified>
</cp:coreProperties>
</file>